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333333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333333"/>
          <w:kern w:val="0"/>
          <w:sz w:val="44"/>
          <w:szCs w:val="44"/>
        </w:rPr>
        <w:t>广东省精神残疾人及亲友协会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333333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bCs/>
          <w:color w:val="333333"/>
          <w:kern w:val="0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b/>
          <w:bCs/>
          <w:color w:val="333333"/>
          <w:kern w:val="0"/>
          <w:sz w:val="44"/>
          <w:szCs w:val="44"/>
        </w:rPr>
        <w:t>世界孤独症日系列活动</w:t>
      </w:r>
      <w:r>
        <w:rPr>
          <w:rFonts w:hint="default" w:ascii="Times New Roman" w:hAnsi="Times New Roman" w:eastAsia="方正小标宋简体" w:cs="Times New Roman"/>
          <w:b/>
          <w:bCs/>
          <w:color w:val="333333"/>
          <w:kern w:val="0"/>
          <w:sz w:val="44"/>
          <w:szCs w:val="44"/>
          <w:lang w:eastAsia="zh-CN"/>
        </w:rPr>
        <w:t>方案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firstLine="562" w:firstLineChars="200"/>
        <w:jc w:val="both"/>
        <w:textAlignment w:val="auto"/>
        <w:rPr>
          <w:rFonts w:hint="default" w:ascii="Times New Roman" w:hAnsi="Times New Roman" w:eastAsia="方正仿宋_GB18030" w:cs="Times New Roman"/>
          <w:b/>
          <w:color w:val="auto"/>
          <w:sz w:val="28"/>
          <w:szCs w:val="28"/>
          <w:lang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firstLine="56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lang w:eastAsia="zh-CN"/>
        </w:rPr>
        <w:t>一、活动概况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firstLine="560" w:firstLineChars="200"/>
        <w:jc w:val="both"/>
        <w:textAlignment w:val="auto"/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eastAsia="zh-CN"/>
        </w:rPr>
        <w:t>（一）活动主题：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firstLine="560" w:firstLineChars="200"/>
        <w:jc w:val="both"/>
        <w:textAlignment w:val="auto"/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  <w:t>“星闪粤湾”——广东省202</w:t>
      </w: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  <w:t>年世界孤独症关注日系列活动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firstLine="560" w:firstLineChars="200"/>
        <w:jc w:val="both"/>
        <w:textAlignment w:val="auto"/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eastAsia="zh-CN"/>
        </w:rPr>
        <w:t>活动口号：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firstLine="560" w:firstLineChars="200"/>
        <w:jc w:val="both"/>
        <w:textAlignment w:val="auto"/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eastAsia="zh-CN"/>
        </w:rPr>
        <w:t>全生涯服务，全方位关爱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firstLine="560" w:firstLineChars="200"/>
        <w:jc w:val="both"/>
        <w:textAlignment w:val="auto"/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eastAsia="zh-CN"/>
        </w:rPr>
        <w:t>（三）活动时间：</w:t>
      </w: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  <w:t>202</w:t>
      </w: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  <w:t>月2日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firstLine="560" w:firstLineChars="200"/>
        <w:jc w:val="both"/>
        <w:textAlignment w:val="auto"/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eastAsia="zh-CN"/>
        </w:rPr>
        <w:t>（四）活动地点：主会场为广州</w:t>
      </w: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val="en-US" w:eastAsia="zh-CN"/>
        </w:rPr>
        <w:t>、东莞；分会场为</w:t>
      </w: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  <w:t>广东省各地市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firstLine="560" w:firstLineChars="200"/>
        <w:jc w:val="both"/>
        <w:textAlignment w:val="auto"/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eastAsia="zh-CN"/>
        </w:rPr>
        <w:t>（五）指导单位：</w:t>
      </w: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  <w:t>广东省残疾人联合会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firstLine="560" w:firstLineChars="200"/>
        <w:jc w:val="both"/>
        <w:textAlignment w:val="auto"/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eastAsia="zh-CN"/>
        </w:rPr>
        <w:t>（六）主办单位：</w:t>
      </w: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  <w:t>广东狮子会</w:t>
      </w:r>
      <w:r>
        <w:rPr>
          <w:rFonts w:hint="default" w:ascii="Times New Roman" w:hAnsi="Times New Roman" w:eastAsia="方正仿宋_GB18030" w:cs="Times New Roman"/>
          <w:b/>
          <w:color w:val="auto"/>
          <w:sz w:val="28"/>
          <w:szCs w:val="28"/>
        </w:rPr>
        <w:t>、</w:t>
      </w: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  <w:t>广东省精神残疾人及亲友协会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firstLine="560" w:firstLineChars="200"/>
        <w:jc w:val="both"/>
        <w:textAlignment w:val="auto"/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eastAsia="zh-CN"/>
        </w:rPr>
        <w:t>（七）承办单位：</w:t>
      </w: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  <w:t>各地市精协及狮子会各代表处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firstLine="56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lang w:eastAsia="zh-CN"/>
        </w:rPr>
        <w:t>二、活动目的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“完善残疾人社会保障制度和关爱服务体系，促进残疾人事业全面发展”是党的二十大报告提出的重要任务。服务是最好的关爱，孤独症群体的服务目前整体处于较薄弱环节，从供给来看，学前康复需要提质、学龄教育需要加大融合力度、成年就业服务缺乏、托养安置与信托服务处于初始探索阶段；从保障来看，服务补助没有覆盖全生涯、保障机制不健全、地区差异大，大部分负担仍需要家庭承担，严重影响孤独症家庭的发展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孤独症是一类严重的先天性神经系统发育障碍，核心症状是社会交往困难和刻板狭窄的行为兴趣特征，患病率仍处于上升趋势，至今病因未明，早期主要依靠康复和特殊教育手段帮助其恢复和提升功能，但致残率较高，融入社会是其最大的挑战之一，大部分需要程度不等的全生涯服务支持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“全生涯服务”体现在两个方面，一是孤独症人士各阶段需要的服务供给充足，二是各阶段服务的无缝衔接，包括早期筛查与诊断、早期康复、融合教育、职业培训、就业支持、成年安置、家庭支持、信托服务等。“全方位关爱”体现在政府对孤独症人士全生涯服务体系的制度性保障，社会对孤独症人士及其家庭的理解、包容与接纳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“4•2世界孤独症关注日（World Autism Awareness Day）”，我们呼吁社会重视孤独症服务体系与关爱体系建设，广泛开展科学的社会倡导活动，使社会大众正确理解孤独症，使孤独症人士的社会生活障碍更少。强调“全生涯服务、全方位关爱”，既是贯彻落实党的二十大报告、响应习近平总书记“对残疾人要格外关心、格外关注”号召的重要体现，也是社会对孤独症群体及其家庭人文关怀的重要措施，更是减少家庭和社会负担的最佳策略，因为前期的服务到位，并形成无缝衔接，后期社会和家庭付出的成本和负担就会减少，将有力促进孤独症人士融入社会、发挥自身价值、为社会做出贡献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firstLine="56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lang w:eastAsia="zh-CN"/>
        </w:rPr>
        <w:t>三、活动开展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Times New Roman" w:hAnsi="Times New Roman" w:eastAsia="方正仿宋_GB18030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18030" w:cs="Times New Roman"/>
          <w:color w:val="auto"/>
          <w:sz w:val="28"/>
          <w:szCs w:val="28"/>
          <w:lang w:eastAsia="zh-CN"/>
        </w:rPr>
        <w:t>本次活动按照</w:t>
      </w:r>
      <w:r>
        <w:rPr>
          <w:rFonts w:hint="eastAsia" w:ascii="Times New Roman" w:hAnsi="Times New Roman" w:eastAsia="方正仿宋_GB18030" w:cs="Times New Roman"/>
          <w:b/>
          <w:bCs/>
          <w:color w:val="auto"/>
          <w:sz w:val="28"/>
          <w:szCs w:val="28"/>
          <w:lang w:eastAsia="zh-CN"/>
        </w:rPr>
        <w:t>主场活动+分场活动</w:t>
      </w:r>
      <w:r>
        <w:rPr>
          <w:rFonts w:hint="eastAsia" w:ascii="Times New Roman" w:hAnsi="Times New Roman" w:eastAsia="方正仿宋_GB18030" w:cs="Times New Roman"/>
          <w:color w:val="auto"/>
          <w:sz w:val="28"/>
          <w:szCs w:val="28"/>
          <w:lang w:eastAsia="zh-CN"/>
        </w:rPr>
        <w:t>形式进行，活动包括但不限于文艺表演、定向运动、公益展示义卖集市、游园活动等，以宣传孤独症相关知识，创设包容、接纳的社会氛围。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eastAsia="zh-CN"/>
        </w:rPr>
        <w:t>在世界孤独症日（4月2日）期间，广东精协孤独症工作委员会将与各地精协开展系列科普、倡议活动，使社会科学客观了解孤独症，营造包容接纳的社会环境，为孤独症人士融入社会减少障碍。欢迎各地精协将活动情况的视频、图文发给广东精协邮箱，将择优选择在广东精协公众号发布和宣传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firstLine="56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lang w:eastAsia="zh-CN"/>
        </w:rPr>
        <w:t>四、活动要求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both"/>
        <w:textAlignment w:val="auto"/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  <w:t>（一）所有参与者，统一以下内容：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both"/>
        <w:textAlignment w:val="auto"/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  <w:t>海报、背景板、ppt模版、主题色、</w:t>
      </w: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eastAsia="zh-CN"/>
        </w:rPr>
        <w:t>口号、</w:t>
      </w: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  <w:t>启动仪式（详情等待通知）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both"/>
        <w:textAlignment w:val="auto"/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  <w:t>（二）各会场在依法依规并保证安全的情况下根据实际情况举办系列活动（详见下文中参考活动）。</w:t>
      </w: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eastAsia="zh-CN"/>
        </w:rPr>
        <w:t>根据本活动方案结合当地实际选择必办活动系列</w:t>
      </w: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firstLine="56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lang w:eastAsia="zh-CN"/>
        </w:rPr>
        <w:t>五、活动内容（标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lang w:val="en-US" w:eastAsia="zh-CN"/>
        </w:rPr>
        <w:t>*为必办活动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lang w:eastAsia="zh-CN"/>
        </w:rPr>
        <w:t>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eastAsia="zh-CN"/>
        </w:rPr>
        <w:t>（一）嘉许最美星星守护者</w:t>
      </w: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*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通过挖掘各地市深耕孤独症康教事业的星星守护者感人事迹，进行表彰和传播，发扬孤独症特教教师无私奉献的精神，提高特教教师的社会地位，提高全社会尊师重教的良好社会氛围。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1.活动对象：面向各地级市孤独症康复机构在职人员，嘉许“最美星星守护者”。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2.嘉许人数：每个地级市上报10到15人名额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3.活动目的</w:t>
      </w:r>
      <w:r>
        <w:rPr>
          <w:rFonts w:hint="eastAsia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：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（1）发扬特教教师敬业奉献的精神；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（2）提高特教教师的社会地位，号召社会尊重特教岗位；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（3）鼓励孤独症康复教育教师岗位成才。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4.活动流程</w:t>
      </w:r>
    </w:p>
    <w:tbl>
      <w:tblPr>
        <w:tblStyle w:val="4"/>
        <w:tblW w:w="8515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39"/>
        <w:gridCol w:w="657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18030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b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65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18030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b/>
                <w:color w:val="333333"/>
                <w:sz w:val="32"/>
                <w:szCs w:val="32"/>
              </w:rPr>
              <w:t>“最美星星守护者”评选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18030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65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18030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333333"/>
                <w:sz w:val="32"/>
                <w:szCs w:val="32"/>
              </w:rPr>
              <w:t>省精协发布活动通知，收集报名信息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18030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65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18030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333333"/>
                <w:sz w:val="32"/>
                <w:szCs w:val="32"/>
              </w:rPr>
              <w:t>3月15日之前汇总上报名单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18030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333333"/>
                <w:sz w:val="32"/>
                <w:szCs w:val="32"/>
              </w:rPr>
              <w:t>3</w:t>
            </w:r>
          </w:p>
        </w:tc>
        <w:tc>
          <w:tcPr>
            <w:tcW w:w="65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18030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sz w:val="32"/>
                <w:szCs w:val="32"/>
              </w:rPr>
              <w:t>3月27日</w:t>
            </w:r>
            <w:r>
              <w:rPr>
                <w:rFonts w:hint="default" w:ascii="Times New Roman" w:hAnsi="Times New Roman" w:eastAsia="方正仿宋_GB18030" w:cs="Times New Roman"/>
                <w:sz w:val="32"/>
                <w:szCs w:val="32"/>
                <w:lang w:eastAsia="zh-CN"/>
              </w:rPr>
              <w:t>前</w:t>
            </w:r>
            <w:r>
              <w:rPr>
                <w:rFonts w:hint="default" w:ascii="Times New Roman" w:hAnsi="Times New Roman" w:eastAsia="方正仿宋_GB18030" w:cs="Times New Roman"/>
                <w:sz w:val="32"/>
                <w:szCs w:val="32"/>
              </w:rPr>
              <w:t>确认嘉许名单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18030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color w:val="333333"/>
                <w:sz w:val="32"/>
                <w:szCs w:val="32"/>
              </w:rPr>
              <w:t>4</w:t>
            </w:r>
          </w:p>
        </w:tc>
        <w:tc>
          <w:tcPr>
            <w:tcW w:w="65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18030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18030" w:cs="Times New Roman"/>
                <w:sz w:val="32"/>
                <w:szCs w:val="32"/>
                <w:lang w:val="en-US" w:eastAsia="zh-CN"/>
              </w:rPr>
              <w:t>4月2日</w:t>
            </w:r>
            <w:r>
              <w:rPr>
                <w:rFonts w:hint="default" w:ascii="Times New Roman" w:hAnsi="Times New Roman" w:eastAsia="方正仿宋_GB18030" w:cs="Times New Roman"/>
                <w:sz w:val="32"/>
                <w:szCs w:val="32"/>
              </w:rPr>
              <w:t>统一嘉许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（二）点亮蓝灯行动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点亮蓝灯是世界各地在孤独症日期间开展的一个传统活动，各地精协、孤独症服务机构、志愿者组织及相关部门，在城市标志物、电视塔台、交通路口、公共交通媒体、社区、学校、广场等公共场所，于4月2日晚开展点亮蓝灯行动，并呈现孤独症日宣传主题口号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（三）科普宣传及倡导活动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制作通俗易懂的科普手册或画册向社会、社区广泛发放，通过各种媒体宣传报道等方式，使社会更加了解、理解和接纳孤独症人士，并对孤独症家长和服务提供者给予关注与支持。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（四）发布孤独症歌曲《星星》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《星星》这首歌曲诞生于对孤独症群体的深深关怀与理解之中。歌曲以“星星”为隐喻，代表着孤独症人士内心深处的光芒和希望。虽然孤独症人士可能面临沟通和社交的困难，但他们的内心却充满了独特的美和力量，就像夜空中闪烁的星星，虽然遥远，却仍然闪耀着光芒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（五）举办相关孤独症论坛、讲座及专题培训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各地精协、相关孤独症服务机构或组织，通过举办孤独症专题论坛、讲座或培训，为家长、专业人员、志愿者等，普及科学知识、康复技能、关爱与服务知识，探讨孤独症全生涯服务、全方位关爱策略，宣传政策，促进孤独症相关服务的专业化发展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（六）录制科普、社会倡导微视频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用微视频方式，配上科普短文，介绍孤独症知识、孤独症人士需求与帮助技巧、孤独症日主题口号、国家政策和救助渠道，真实客观反映孤独症人士的现状与需求，通过视频号、抖音、朋友圈等形式传播，感召全社会关心、关注孤独症人士及其家长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（七）探望走访活动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孤独症日前后，相关人士或组织走进社区、机构和家庭，以各种方式探望孤独症人士、家长，走访孤独症服务机构及专业人士，为他们带去温暖与鼓励。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（八）举办孤独症儿童亲子游学活动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游学活动不仅是一种生态化教育康复手段，也是一种文化体验与熏陶。为了使孤独症儿童更好地融入社会、泛化所学技能、增强社交和适应能力、感受祖国美好环境、倡导社会关爱，鼓励相关机构或组织，联合各地文旅部门，开展趣味亲子游学活动，让孤独症儿童有更多的机会“走出去”。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结合地方特色开展普特共融活动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/>
          <w:color w:val="auto"/>
          <w:sz w:val="28"/>
          <w:szCs w:val="28"/>
          <w:lang w:val="en-US" w:eastAsia="zh-CN"/>
        </w:rPr>
        <w:t>各地精协可以结合地方特色及优良的传统文化，开展普特共融活动，如趣味运动会、艺术展能、公益彩跑等，多渠道让社会大众近距离走进孤独症儿童，从心理解、接纳、支持孤独症儿童。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eastAsia="zh-CN"/>
        </w:rPr>
        <w:t>以上为</w:t>
      </w:r>
      <w:r>
        <w:rPr>
          <w:rFonts w:hint="default" w:ascii="Times New Roman" w:hAnsi="Times New Roman" w:eastAsia="方正仿宋_GB18030" w:cs="Times New Roman"/>
          <w:color w:val="auto"/>
          <w:sz w:val="28"/>
          <w:szCs w:val="28"/>
          <w:lang w:val="en-US" w:eastAsia="zh-CN"/>
        </w:rPr>
        <w:t>2024年世界孤独症关注日系列活动方案，请各地市精协充分发挥好协会“代表、服务、维权”的作用，积极联系广东狮子会各地市代表处（筹建小组）形成工作合力，根据当地实际情况自主性、创造性实施。</w:t>
      </w:r>
    </w:p>
    <w:sectPr>
      <w:footerReference r:id="rId3" w:type="default"/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084E1"/>
    <w:multiLevelType w:val="singleLevel"/>
    <w:tmpl w:val="149084E1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48BC255"/>
    <w:multiLevelType w:val="singleLevel"/>
    <w:tmpl w:val="348BC25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TQwNzg2YzdhMjg3MDEwOGNlYjIyOTQ2ZjM0NWQifQ=="/>
  </w:docVars>
  <w:rsids>
    <w:rsidRoot w:val="1AAC3C83"/>
    <w:rsid w:val="091A7535"/>
    <w:rsid w:val="14092680"/>
    <w:rsid w:val="1AAC3C83"/>
    <w:rsid w:val="1C346708"/>
    <w:rsid w:val="2CFF0026"/>
    <w:rsid w:val="31A42337"/>
    <w:rsid w:val="6AE24FE6"/>
    <w:rsid w:val="6D7D4DE5"/>
    <w:rsid w:val="76C43A85"/>
    <w:rsid w:val="788A40D3"/>
    <w:rsid w:val="7F6F9DDE"/>
    <w:rsid w:val="7FA783E7"/>
    <w:rsid w:val="7FBD5EBD"/>
    <w:rsid w:val="CDBF6073"/>
    <w:rsid w:val="EFFB5F69"/>
    <w:rsid w:val="F1FC458D"/>
    <w:rsid w:val="FE7F9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石墨文档正文"/>
    <w:qFormat/>
    <w:uiPriority w:val="0"/>
    <w:rPr>
      <w:rFonts w:ascii="微软雅黑" w:hAnsi="微软雅黑" w:eastAsia="微软雅黑" w:cs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2024-02-24T02:23:00Z</dcterms:created>
  <dc:creator>crystal</dc:creator>
  <cp:lastModifiedBy>胡东海</cp:lastModifiedBy>
  <dcterms:modified xsi:type="dcterms:W3CDTF">2024-03-07T10:37:39Z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2690D752E9AE403B8FAF89C4E793F854_13</vt:lpwstr>
  </property>
</Properties>
</file>